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AE" w:rsidRDefault="00FB72AE" w:rsidP="0046420F">
      <w:pPr>
        <w:jc w:val="both"/>
        <w:rPr>
          <w:b/>
          <w:bCs/>
          <w:sz w:val="28"/>
          <w:szCs w:val="28"/>
          <w:lang w:bidi="ar-EG"/>
        </w:rPr>
      </w:pPr>
      <w:bookmarkStart w:id="0" w:name="_GoBack"/>
      <w:bookmarkEnd w:id="0"/>
    </w:p>
    <w:p w:rsidR="0046420F" w:rsidRPr="0046420F" w:rsidRDefault="0046420F" w:rsidP="0046420F">
      <w:pPr>
        <w:jc w:val="both"/>
        <w:rPr>
          <w:b/>
          <w:bCs/>
          <w:sz w:val="28"/>
          <w:szCs w:val="28"/>
          <w:rtl/>
          <w:lang w:bidi="ar-EG"/>
        </w:rPr>
      </w:pPr>
      <w:r w:rsidRPr="0046420F">
        <w:rPr>
          <w:b/>
          <w:bCs/>
          <w:sz w:val="28"/>
          <w:szCs w:val="28"/>
          <w:lang w:bidi="ar-EG"/>
        </w:rPr>
        <w:t>Breve C.V.</w:t>
      </w:r>
    </w:p>
    <w:p w:rsidR="00FB72AE" w:rsidRDefault="0046420F" w:rsidP="00FB72AE">
      <w:pPr>
        <w:pBdr>
          <w:bottom w:val="single" w:sz="6" w:space="1" w:color="auto"/>
        </w:pBdr>
        <w:jc w:val="both"/>
        <w:rPr>
          <w:sz w:val="28"/>
          <w:szCs w:val="28"/>
          <w:rtl/>
          <w:lang w:bidi="ar-EG"/>
        </w:rPr>
      </w:pP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Ahmed </w:t>
      </w:r>
      <w:proofErr w:type="spellStart"/>
      <w:r>
        <w:rPr>
          <w:rFonts w:ascii="Times New Roman" w:eastAsia="Calibri" w:hAnsi="Times New Roman" w:cs="Arial"/>
          <w:sz w:val="24"/>
          <w:szCs w:val="24"/>
          <w:lang w:eastAsia="es-ES"/>
        </w:rPr>
        <w:t>Shafik</w:t>
      </w:r>
      <w:proofErr w:type="spellEnd"/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Arial"/>
          <w:sz w:val="24"/>
          <w:szCs w:val="24"/>
          <w:lang w:eastAsia="es-ES"/>
        </w:rPr>
        <w:t>Roushdy</w:t>
      </w:r>
      <w:proofErr w:type="spellEnd"/>
      <w:r>
        <w:rPr>
          <w:rFonts w:ascii="Times New Roman" w:eastAsia="Calibri" w:hAnsi="Times New Roman" w:cs="Arial"/>
          <w:sz w:val="24"/>
          <w:szCs w:val="24"/>
          <w:lang w:eastAsia="es-ES"/>
        </w:rPr>
        <w:t>. D</w:t>
      </w:r>
      <w:r w:rsidRPr="00456093">
        <w:rPr>
          <w:rFonts w:ascii="Times New Roman" w:eastAsia="Calibri" w:hAnsi="Times New Roman" w:cs="Arial"/>
          <w:sz w:val="24"/>
          <w:szCs w:val="24"/>
          <w:lang w:eastAsia="es-ES"/>
        </w:rPr>
        <w:t xml:space="preserve">octor por 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dos </w:t>
      </w:r>
      <w:r w:rsidRPr="00456093">
        <w:rPr>
          <w:rFonts w:ascii="Times New Roman" w:eastAsia="Calibri" w:hAnsi="Times New Roman" w:cs="Arial"/>
          <w:sz w:val="24"/>
          <w:szCs w:val="24"/>
          <w:lang w:eastAsia="es-ES"/>
        </w:rPr>
        <w:t>universidades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 españolas</w:t>
      </w:r>
      <w:r w:rsidRPr="00456093">
        <w:rPr>
          <w:rFonts w:ascii="Times New Roman" w:eastAsia="Calibri" w:hAnsi="Times New Roman" w:cs="Arial"/>
          <w:sz w:val="24"/>
          <w:szCs w:val="24"/>
          <w:lang w:eastAsia="es-ES"/>
        </w:rPr>
        <w:t>,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 presentó</w:t>
      </w:r>
      <w:r w:rsidRPr="00456093">
        <w:rPr>
          <w:rFonts w:ascii="Times New Roman" w:eastAsia="Calibri" w:hAnsi="Times New Roman" w:cs="Arial"/>
          <w:sz w:val="24"/>
          <w:szCs w:val="24"/>
          <w:lang w:eastAsia="es-ES"/>
        </w:rPr>
        <w:t xml:space="preserve"> sendas tesis doctorales (sobre literatura comparada y teoría literaria en Oviedo, y sobre traducción en la Autónoma de Madrid)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. </w:t>
      </w:r>
      <w:r>
        <w:rPr>
          <w:rFonts w:ascii="Times New Roman" w:hAnsi="Times New Roman"/>
          <w:sz w:val="24"/>
          <w:szCs w:val="24"/>
          <w:lang w:eastAsia="es-ES"/>
        </w:rPr>
        <w:t xml:space="preserve">Ejerce la docencia de lengua y cultura árabe en la Universidad Popular de Avilés (tutelada por la </w:t>
      </w:r>
      <w:proofErr w:type="spellStart"/>
      <w:r>
        <w:rPr>
          <w:rFonts w:ascii="Times New Roman" w:hAnsi="Times New Roman"/>
          <w:sz w:val="24"/>
          <w:szCs w:val="24"/>
          <w:lang w:eastAsia="es-ES"/>
        </w:rPr>
        <w:t>Uni</w:t>
      </w:r>
      <w:proofErr w:type="spellEnd"/>
      <w:r>
        <w:rPr>
          <w:rFonts w:ascii="Times New Roman" w:hAnsi="Times New Roman"/>
          <w:sz w:val="24"/>
          <w:szCs w:val="24"/>
          <w:lang w:eastAsia="es-ES"/>
        </w:rPr>
        <w:t xml:space="preserve">. de Oviedo). 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Fue Profesor en la Universidad de El Cairo. Es colaborador habitual en diversas revistas científicas sobre teatro y estudios árabes e islámicos, así como coautor de  los siguientes títulos sobre traducción literaria, religiosa y científica: </w:t>
      </w:r>
      <w:r w:rsidRPr="008334F4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Interculturalidad, lengua y traducción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 (2009), </w:t>
      </w:r>
      <w:r w:rsidRPr="008334F4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Estudios de lingüística y </w:t>
      </w:r>
      <w:proofErr w:type="spellStart"/>
      <w:r w:rsidRPr="008334F4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traductología</w:t>
      </w:r>
      <w:proofErr w:type="spellEnd"/>
      <w:r w:rsidRPr="008334F4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árabe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 (2010), </w:t>
      </w:r>
      <w:r w:rsidRPr="00B236A9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Ensayos de </w:t>
      </w:r>
      <w:proofErr w:type="spellStart"/>
      <w:r w:rsidRPr="00B236A9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traductología</w:t>
      </w:r>
      <w:proofErr w:type="spellEnd"/>
      <w:r w:rsidRPr="00B236A9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árabe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 (</w:t>
      </w:r>
      <w:r w:rsidRPr="003D2370">
        <w:rPr>
          <w:rFonts w:ascii="Times New Roman" w:eastAsia="Calibri" w:hAnsi="Times New Roman" w:cs="Arial"/>
          <w:sz w:val="24"/>
          <w:szCs w:val="24"/>
          <w:lang w:eastAsia="es-ES"/>
        </w:rPr>
        <w:t xml:space="preserve">2012). Al árabe ha traducido dos obras de carácter antropológico: </w:t>
      </w:r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Las madres vírgenes y los embarazos milagroso</w:t>
      </w:r>
      <w:r w:rsidRPr="003D2370">
        <w:rPr>
          <w:rFonts w:ascii="Times New Roman" w:eastAsia="Calibri" w:hAnsi="Times New Roman" w:cs="Arial"/>
          <w:sz w:val="24"/>
          <w:szCs w:val="24"/>
          <w:lang w:eastAsia="es-ES"/>
        </w:rPr>
        <w:t xml:space="preserve"> (2008) y </w:t>
      </w:r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El legado mesiánico</w:t>
      </w:r>
      <w:r w:rsidRPr="003D2370">
        <w:rPr>
          <w:rFonts w:ascii="Times New Roman" w:eastAsia="Calibri" w:hAnsi="Times New Roman" w:cs="Arial"/>
          <w:sz w:val="24"/>
          <w:szCs w:val="24"/>
          <w:lang w:eastAsia="es-ES"/>
        </w:rPr>
        <w:t xml:space="preserve"> (2009).</w:t>
      </w:r>
      <w:r w:rsidRPr="003D2370">
        <w:rPr>
          <w:rFonts w:ascii="Times New Roman" w:hAnsi="Times New Roman" w:hint="cs"/>
          <w:sz w:val="24"/>
          <w:szCs w:val="24"/>
          <w:rtl/>
          <w:lang w:eastAsia="es-ES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>Es</w:t>
      </w:r>
      <w:r w:rsidRPr="000231D3">
        <w:rPr>
          <w:rFonts w:ascii="Times New Roman" w:eastAsia="Calibri" w:hAnsi="Times New Roman" w:cs="Arial"/>
          <w:sz w:val="24"/>
          <w:szCs w:val="24"/>
          <w:lang w:eastAsia="es-ES"/>
        </w:rPr>
        <w:t xml:space="preserve"> autor y traductor 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de </w:t>
      </w:r>
      <w:r w:rsidRPr="003D2370">
        <w:rPr>
          <w:rFonts w:ascii="Times New Roman" w:eastAsia="Calibri" w:hAnsi="Times New Roman" w:cs="Arial"/>
          <w:sz w:val="24"/>
          <w:szCs w:val="24"/>
          <w:lang w:eastAsia="es-ES"/>
        </w:rPr>
        <w:t>l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>os siguientes</w:t>
      </w:r>
      <w:r w:rsidRPr="003D2370">
        <w:rPr>
          <w:rFonts w:ascii="Times New Roman" w:eastAsia="Calibri" w:hAnsi="Times New Roman" w:cs="Arial"/>
          <w:sz w:val="24"/>
          <w:szCs w:val="24"/>
          <w:lang w:eastAsia="es-ES"/>
        </w:rPr>
        <w:t xml:space="preserve"> libro</w:t>
      </w:r>
      <w:r>
        <w:rPr>
          <w:rFonts w:ascii="Times New Roman" w:eastAsia="Calibri" w:hAnsi="Times New Roman" w:cs="Arial"/>
          <w:sz w:val="24"/>
          <w:szCs w:val="24"/>
          <w:lang w:eastAsia="es-ES"/>
        </w:rPr>
        <w:t>s</w:t>
      </w:r>
      <w:r w:rsidRPr="003D2370">
        <w:rPr>
          <w:rFonts w:ascii="Times New Roman" w:eastAsia="Calibri" w:hAnsi="Times New Roman" w:cs="Arial"/>
          <w:sz w:val="24"/>
          <w:szCs w:val="24"/>
          <w:lang w:eastAsia="es-ES"/>
        </w:rPr>
        <w:t xml:space="preserve"> </w:t>
      </w:r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Tres textos sobre el compañerismo, de </w:t>
      </w:r>
      <w:proofErr w:type="spellStart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Abū</w:t>
      </w:r>
      <w:proofErr w:type="spellEnd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Madyan</w:t>
      </w:r>
      <w:proofErr w:type="spellEnd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, </w:t>
      </w:r>
      <w:proofErr w:type="spellStart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Ibn</w:t>
      </w:r>
      <w:proofErr w:type="spellEnd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‘</w:t>
      </w:r>
      <w:proofErr w:type="spellStart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Aṭā</w:t>
      </w:r>
      <w:proofErr w:type="spellEnd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’ </w:t>
      </w:r>
      <w:proofErr w:type="spellStart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Allāh</w:t>
      </w:r>
      <w:proofErr w:type="spellEnd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e </w:t>
      </w:r>
      <w:proofErr w:type="spellStart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Ibn</w:t>
      </w:r>
      <w:proofErr w:type="spellEnd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‘</w:t>
      </w:r>
      <w:proofErr w:type="spellStart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Arabī</w:t>
      </w:r>
      <w:proofErr w:type="spellEnd"/>
      <w:r w:rsidRPr="003D237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</w:t>
      </w:r>
      <w:r w:rsidRPr="003D2370">
        <w:rPr>
          <w:rFonts w:ascii="Times New Roman" w:eastAsia="Calibri" w:hAnsi="Times New Roman" w:cs="Arial"/>
          <w:sz w:val="24"/>
          <w:szCs w:val="24"/>
          <w:lang w:eastAsia="es-ES"/>
        </w:rPr>
        <w:t xml:space="preserve">(2014). </w:t>
      </w:r>
      <w:proofErr w:type="spellStart"/>
      <w:r w:rsidRPr="008177D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Miftāḥ</w:t>
      </w:r>
      <w:proofErr w:type="spellEnd"/>
      <w:r w:rsidRPr="008177D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al-</w:t>
      </w:r>
      <w:proofErr w:type="spellStart"/>
      <w:r w:rsidRPr="008177D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sa‘āda</w:t>
      </w:r>
      <w:proofErr w:type="spellEnd"/>
      <w:r w:rsidRPr="008177D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8177D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wa-taḥqīq</w:t>
      </w:r>
      <w:proofErr w:type="spellEnd"/>
      <w:r w:rsidRPr="008177D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8177D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ṭarīq</w:t>
      </w:r>
      <w:proofErr w:type="spellEnd"/>
      <w:r w:rsidRPr="008177D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 xml:space="preserve"> al-</w:t>
      </w:r>
      <w:proofErr w:type="spellStart"/>
      <w:r w:rsidRPr="008177D0">
        <w:rPr>
          <w:rFonts w:ascii="Times New Roman" w:eastAsia="Calibri" w:hAnsi="Times New Roman" w:cs="Arial"/>
          <w:i/>
          <w:iCs/>
          <w:sz w:val="24"/>
          <w:szCs w:val="24"/>
          <w:lang w:eastAsia="es-ES"/>
        </w:rPr>
        <w:t>sa‘āda</w:t>
      </w:r>
      <w:proofErr w:type="spellEnd"/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 de </w:t>
      </w:r>
      <w:proofErr w:type="spellStart"/>
      <w:r>
        <w:rPr>
          <w:rFonts w:ascii="Times New Roman" w:eastAsia="Calibri" w:hAnsi="Times New Roman" w:cs="Arial"/>
          <w:sz w:val="24"/>
          <w:szCs w:val="24"/>
          <w:lang w:eastAsia="es-ES"/>
        </w:rPr>
        <w:t>Ibn</w:t>
      </w:r>
      <w:proofErr w:type="spellEnd"/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 al-‘</w:t>
      </w:r>
      <w:proofErr w:type="spellStart"/>
      <w:r>
        <w:rPr>
          <w:rFonts w:ascii="Times New Roman" w:eastAsia="Calibri" w:hAnsi="Times New Roman" w:cs="Arial"/>
          <w:sz w:val="24"/>
          <w:szCs w:val="24"/>
          <w:lang w:eastAsia="es-ES"/>
        </w:rPr>
        <w:t>Arīf</w:t>
      </w:r>
      <w:proofErr w:type="spellEnd"/>
      <w:r>
        <w:rPr>
          <w:rFonts w:ascii="Times New Roman" w:eastAsia="Calibri" w:hAnsi="Times New Roman" w:cs="Arial"/>
          <w:sz w:val="24"/>
          <w:szCs w:val="24"/>
          <w:lang w:eastAsia="es-ES"/>
        </w:rPr>
        <w:t xml:space="preserve"> (2014).  </w:t>
      </w:r>
      <w:r w:rsidRPr="003D2370">
        <w:rPr>
          <w:rFonts w:asciiTheme="majorBidi" w:hAnsiTheme="majorBidi" w:cstheme="majorBidi"/>
          <w:i/>
          <w:iCs/>
          <w:sz w:val="24"/>
          <w:szCs w:val="24"/>
        </w:rPr>
        <w:t xml:space="preserve">Textos raros del teatro de sombras: Egipto y Siria, siglo </w:t>
      </w:r>
      <w:r w:rsidRPr="003D2370">
        <w:rPr>
          <w:rFonts w:asciiTheme="majorBidi" w:hAnsiTheme="majorBidi" w:cstheme="majorBidi"/>
          <w:i/>
          <w:iCs/>
          <w:smallCaps/>
          <w:sz w:val="24"/>
          <w:szCs w:val="24"/>
        </w:rPr>
        <w:t xml:space="preserve">xii </w:t>
      </w:r>
      <w:r w:rsidRPr="003D2370">
        <w:rPr>
          <w:rFonts w:asciiTheme="majorBidi" w:hAnsiTheme="majorBidi" w:cstheme="majorBidi"/>
          <w:i/>
          <w:iCs/>
          <w:sz w:val="24"/>
          <w:szCs w:val="24"/>
        </w:rPr>
        <w:t xml:space="preserve">al </w:t>
      </w:r>
      <w:r w:rsidRPr="003D2370">
        <w:rPr>
          <w:rFonts w:asciiTheme="majorBidi" w:hAnsiTheme="majorBidi" w:cstheme="majorBidi"/>
          <w:i/>
          <w:iCs/>
          <w:smallCaps/>
          <w:sz w:val="24"/>
          <w:szCs w:val="24"/>
        </w:rPr>
        <w:t>xx</w:t>
      </w:r>
      <w:r w:rsidRPr="003D2370">
        <w:rPr>
          <w:rFonts w:asciiTheme="majorBidi" w:hAnsiTheme="majorBidi" w:cstheme="majorBidi"/>
          <w:sz w:val="24"/>
          <w:szCs w:val="24"/>
        </w:rPr>
        <w:t xml:space="preserve"> (en pr</w:t>
      </w:r>
      <w:r>
        <w:rPr>
          <w:rFonts w:asciiTheme="majorBidi" w:hAnsiTheme="majorBidi" w:cstheme="majorBidi"/>
          <w:sz w:val="24"/>
          <w:szCs w:val="24"/>
        </w:rPr>
        <w:t>e</w:t>
      </w:r>
      <w:r w:rsidRPr="003D2370">
        <w:rPr>
          <w:rFonts w:asciiTheme="majorBidi" w:hAnsiTheme="majorBidi" w:cstheme="majorBidi"/>
          <w:sz w:val="24"/>
          <w:szCs w:val="24"/>
        </w:rPr>
        <w:t>nsa).</w:t>
      </w:r>
      <w:r w:rsidR="009B16F3">
        <w:rPr>
          <w:rFonts w:hint="cs"/>
          <w:sz w:val="28"/>
          <w:szCs w:val="28"/>
          <w:rtl/>
          <w:lang w:bidi="ar-EG"/>
        </w:rPr>
        <w:t xml:space="preserve"> </w:t>
      </w:r>
    </w:p>
    <w:p w:rsidR="00FB72AE" w:rsidRDefault="00FB72AE" w:rsidP="00FB72AE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FB72AE" w:rsidRDefault="00FB72AE" w:rsidP="00FB72AE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SOBRE IBN ARABI:</w:t>
      </w:r>
    </w:p>
    <w:p w:rsidR="00FB72AE" w:rsidRDefault="00FB72AE" w:rsidP="00FB72AE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FB72AE" w:rsidRDefault="00FB72AE" w:rsidP="00FB72AE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Intr. </w:t>
      </w:r>
      <w:proofErr w:type="gram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y</w:t>
      </w:r>
      <w:proofErr w:type="gram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est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proofErr w:type="gram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de</w:t>
      </w:r>
      <w:proofErr w:type="gram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una edición de "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Bulgat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al-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gawwat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" de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Ibn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‘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Arabi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, ed. A. F. al-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Mazīdī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Beirut: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Dār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al-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Kutub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al-‘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Ilmiyya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, 2010, 3-45.</w:t>
      </w:r>
    </w:p>
    <w:p w:rsidR="00FB72AE" w:rsidRDefault="00FB72AE" w:rsidP="00FB72AE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FB72AE" w:rsidRPr="00FB72AE" w:rsidRDefault="00FB72AE" w:rsidP="00FB72AE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B72AE">
        <w:rPr>
          <w:rFonts w:ascii="Calibri" w:eastAsia="Times New Roman" w:hAnsi="Calibri" w:cs="Times New Roman"/>
          <w:color w:val="000000"/>
          <w:lang w:val="es-ES_tradnl" w:eastAsia="es-ES"/>
        </w:rPr>
        <w:t>«La formación de los términos sufíes en las </w:t>
      </w:r>
      <w:r w:rsidRPr="00FB72AE">
        <w:rPr>
          <w:rFonts w:ascii="Calibri" w:eastAsia="Times New Roman" w:hAnsi="Calibri" w:cs="Times New Roman"/>
          <w:i/>
          <w:iCs/>
          <w:color w:val="000000"/>
          <w:lang w:val="es-ES_tradnl" w:eastAsia="es-ES"/>
        </w:rPr>
        <w:t>Revelaciones de la Meca</w:t>
      </w:r>
      <w:r w:rsidRPr="00FB72AE">
        <w:rPr>
          <w:rFonts w:ascii="Calibri" w:eastAsia="Times New Roman" w:hAnsi="Calibri" w:cs="Times New Roman"/>
          <w:color w:val="000000"/>
          <w:lang w:val="es-ES_tradnl" w:eastAsia="es-ES"/>
        </w:rPr>
        <w:t xml:space="preserve"> de </w:t>
      </w:r>
      <w:proofErr w:type="spellStart"/>
      <w:r w:rsidRPr="00FB72AE">
        <w:rPr>
          <w:rFonts w:ascii="Calibri" w:eastAsia="Times New Roman" w:hAnsi="Calibri" w:cs="Times New Roman"/>
          <w:color w:val="000000"/>
          <w:lang w:val="es-ES_tradnl" w:eastAsia="es-ES"/>
        </w:rPr>
        <w:t>Ibn</w:t>
      </w:r>
      <w:proofErr w:type="spellEnd"/>
      <w:r w:rsidRPr="00FB72AE">
        <w:rPr>
          <w:rFonts w:ascii="Calibri" w:eastAsia="Times New Roman" w:hAnsi="Calibri" w:cs="Times New Roman"/>
          <w:color w:val="000000"/>
          <w:lang w:val="es-ES_tradnl" w:eastAsia="es-ES"/>
        </w:rPr>
        <w:t xml:space="preserve"> ‘</w:t>
      </w:r>
      <w:proofErr w:type="spellStart"/>
      <w:r w:rsidRPr="00FB72AE">
        <w:rPr>
          <w:rFonts w:ascii="Calibri" w:eastAsia="Times New Roman" w:hAnsi="Calibri" w:cs="Times New Roman"/>
          <w:color w:val="000000"/>
          <w:lang w:val="es-ES_tradnl" w:eastAsia="es-ES"/>
        </w:rPr>
        <w:t>Arabī</w:t>
      </w:r>
      <w:proofErr w:type="spellEnd"/>
      <w:r w:rsidRPr="00FB72AE">
        <w:rPr>
          <w:rFonts w:ascii="Calibri" w:eastAsia="Times New Roman" w:hAnsi="Calibri" w:cs="Times New Roman"/>
          <w:color w:val="000000"/>
          <w:lang w:val="es-ES_tradnl" w:eastAsia="es-ES"/>
        </w:rPr>
        <w:t>» en </w:t>
      </w:r>
      <w:r w:rsidRPr="00FB72AE">
        <w:rPr>
          <w:rFonts w:ascii="Calibri" w:eastAsia="Times New Roman" w:hAnsi="Calibri" w:cs="Times New Roman"/>
          <w:i/>
          <w:iCs/>
          <w:color w:val="000000"/>
          <w:lang w:val="es-ES_tradnl" w:eastAsia="es-ES"/>
        </w:rPr>
        <w:t>Interculturalidad, lengua y traducción. Estudios aplicados al español y al árabe,</w:t>
      </w:r>
      <w:r w:rsidRPr="00FB72AE">
        <w:rPr>
          <w:rFonts w:ascii="Calibri" w:eastAsia="Times New Roman" w:hAnsi="Calibri" w:cs="Times New Roman"/>
          <w:color w:val="000000"/>
          <w:lang w:val="es-ES_tradnl" w:eastAsia="es-ES"/>
        </w:rPr>
        <w:t xml:space="preserve"> coord. S. M. </w:t>
      </w:r>
      <w:proofErr w:type="spellStart"/>
      <w:r w:rsidRPr="00FB72AE">
        <w:rPr>
          <w:rFonts w:ascii="Calibri" w:eastAsia="Times New Roman" w:hAnsi="Calibri" w:cs="Times New Roman"/>
          <w:color w:val="000000"/>
          <w:lang w:val="es-ES_tradnl" w:eastAsia="es-ES"/>
        </w:rPr>
        <w:t>Saad</w:t>
      </w:r>
      <w:proofErr w:type="spellEnd"/>
      <w:r w:rsidRPr="00FB72AE">
        <w:rPr>
          <w:rFonts w:ascii="Calibri" w:eastAsia="Times New Roman" w:hAnsi="Calibri" w:cs="Times New Roman"/>
          <w:color w:val="000000"/>
          <w:lang w:val="es-ES_tradnl" w:eastAsia="es-ES"/>
        </w:rPr>
        <w:t>, Madrid: Instituto Egipcio de Estudios Islámicos, 2009, 227-258.</w:t>
      </w:r>
    </w:p>
    <w:p w:rsidR="00FB72AE" w:rsidRDefault="00FB72AE" w:rsidP="00FB72AE">
      <w:pPr>
        <w:spacing w:after="0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FB72AE" w:rsidRDefault="00FB72AE" w:rsidP="00FB72AE">
      <w:pPr>
        <w:spacing w:after="0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B72AE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</w:t>
      </w:r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Apartado dedicado a « la influencia de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Ibn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al-‘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Arif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en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Ibn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‘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Arabi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respecto a la herencia de algunos términos compuestos» en mi traducción de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Miftah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FB72AE" w:rsidRDefault="00FB72AE" w:rsidP="00FB72AE">
      <w:pPr>
        <w:spacing w:after="0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FB72AE" w:rsidRDefault="00FB72AE" w:rsidP="00FB72AE">
      <w:pPr>
        <w:spacing w:after="0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B72AE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</w:t>
      </w:r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«Los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ša</w:t>
      </w:r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ḏ</w:t>
      </w:r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iliyya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Ibn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‘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Arabī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tras las huellas de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Abū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Madyan</w:t>
      </w:r>
      <w:proofErr w:type="spellEnd"/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», </w:t>
      </w:r>
      <w:r w:rsidRPr="00FB72A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s-ES"/>
        </w:rPr>
        <w:t>Revista de Ciencias de las Religiones, </w:t>
      </w:r>
      <w:r w:rsidRPr="00FB72A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14, (2009), 117-132.</w:t>
      </w:r>
    </w:p>
    <w:p w:rsidR="00FB72AE" w:rsidRDefault="00FB72AE" w:rsidP="00FB72AE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FB72AE" w:rsidRPr="00FB72AE" w:rsidRDefault="00FB72AE" w:rsidP="00FB72AE">
      <w:pPr>
        <w:spacing w:before="240"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s-ES"/>
        </w:rPr>
      </w:pPr>
      <w:r w:rsidRPr="00FB72AE">
        <w:rPr>
          <w:rFonts w:ascii="Calibri" w:eastAsia="Times New Roman" w:hAnsi="Calibri" w:cs="Times New Roman"/>
          <w:bCs/>
          <w:color w:val="000000"/>
          <w:sz w:val="24"/>
          <w:szCs w:val="24"/>
          <w:lang w:eastAsia="es-ES"/>
        </w:rPr>
        <w:t>SOBRE LA TRADICIÓN DEL CARNAVAL EN LA LITERATURA ESPAÑOLA:</w:t>
      </w:r>
    </w:p>
    <w:p w:rsidR="00FB72AE" w:rsidRPr="00FB72AE" w:rsidRDefault="00FB72AE" w:rsidP="00FB72AE">
      <w:pPr>
        <w:spacing w:before="240"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-----«La idea del teatro en el Medievo islámico», </w:t>
      </w:r>
      <w:r w:rsidRPr="00FB7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Cuadernos de Minotauro,</w:t>
      </w:r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7 (2009), 75-105.</w:t>
      </w:r>
    </w:p>
    <w:p w:rsidR="00FB72AE" w:rsidRPr="00FB72AE" w:rsidRDefault="00FB72AE" w:rsidP="00FB72AE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--- 2013, «Formas carnavalescas del </w:t>
      </w:r>
      <w:proofErr w:type="spellStart"/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Nayrūz</w:t>
      </w:r>
      <w:proofErr w:type="spellEnd"/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el Medievo islámico», </w:t>
      </w:r>
      <w:r w:rsidRPr="00FB7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al-</w:t>
      </w:r>
      <w:proofErr w:type="spellStart"/>
      <w:r w:rsidRPr="00FB7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Andalus</w:t>
      </w:r>
      <w:proofErr w:type="spellEnd"/>
      <w:r w:rsidRPr="00FB7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-Magreb, </w:t>
      </w:r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20 (2013), 217-249.</w:t>
      </w:r>
    </w:p>
    <w:p w:rsidR="00FB72AE" w:rsidRPr="00FB72AE" w:rsidRDefault="00FB72AE" w:rsidP="00FB72AE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--- «Fiesta y carnaval en el Egipto mameluco», </w:t>
      </w:r>
      <w:r w:rsidRPr="00FB7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Miscelánea de Estudios Árabes y Hebraicos,</w:t>
      </w:r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63, (2014), 189-208.</w:t>
      </w:r>
    </w:p>
    <w:p w:rsidR="00FB72AE" w:rsidRPr="00FB72AE" w:rsidRDefault="00FB72AE" w:rsidP="00FB72AE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---, «Ibn </w:t>
      </w:r>
      <w:proofErr w:type="spellStart"/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Dāniyāl’s</w:t>
      </w:r>
      <w:proofErr w:type="spellEnd"/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Shadow Plays in Egypt: The Character of </w:t>
      </w:r>
      <w:proofErr w:type="spellStart"/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Ṭayf</w:t>
      </w:r>
      <w:proofErr w:type="spellEnd"/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al-</w:t>
      </w:r>
      <w:proofErr w:type="spellStart"/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Khayāl</w:t>
      </w:r>
      <w:proofErr w:type="spellEnd"/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», </w:t>
      </w:r>
      <w:proofErr w:type="spellStart"/>
      <w:r w:rsidRPr="00FB7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al-Andalus-Magreb</w:t>
      </w:r>
      <w:proofErr w:type="spellEnd"/>
      <w:r w:rsidRPr="00FB7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, </w:t>
      </w:r>
      <w:r w:rsidRPr="00FB72A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21 (2014).</w:t>
      </w:r>
    </w:p>
    <w:p w:rsidR="00C81236" w:rsidRDefault="00C81236" w:rsidP="005A4218">
      <w:pPr>
        <w:jc w:val="both"/>
      </w:pPr>
    </w:p>
    <w:sectPr w:rsidR="00C81236" w:rsidSect="003C1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236"/>
    <w:rsid w:val="000231D3"/>
    <w:rsid w:val="00102481"/>
    <w:rsid w:val="00105C2E"/>
    <w:rsid w:val="00172C1F"/>
    <w:rsid w:val="00190FDB"/>
    <w:rsid w:val="00201B28"/>
    <w:rsid w:val="00212321"/>
    <w:rsid w:val="00331014"/>
    <w:rsid w:val="003C1953"/>
    <w:rsid w:val="003D2370"/>
    <w:rsid w:val="0046420F"/>
    <w:rsid w:val="005A4218"/>
    <w:rsid w:val="006E3CF1"/>
    <w:rsid w:val="007F1174"/>
    <w:rsid w:val="008177D0"/>
    <w:rsid w:val="00947785"/>
    <w:rsid w:val="009B16F3"/>
    <w:rsid w:val="00A76A8F"/>
    <w:rsid w:val="00AF4999"/>
    <w:rsid w:val="00C81236"/>
    <w:rsid w:val="00DB5B3B"/>
    <w:rsid w:val="00E27B0A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8D70F-465E-4594-AC33-9C02C2D9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0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st">
    <w:name w:val="st"/>
    <w:basedOn w:val="Fuentedeprrafopredeter"/>
    <w:rsid w:val="00105C2E"/>
  </w:style>
  <w:style w:type="character" w:styleId="nfasis">
    <w:name w:val="Emphasis"/>
    <w:basedOn w:val="Fuentedeprrafopredeter"/>
    <w:qFormat/>
    <w:rsid w:val="00105C2E"/>
    <w:rPr>
      <w:i/>
      <w:iCs/>
    </w:rPr>
  </w:style>
  <w:style w:type="paragraph" w:styleId="Prrafodelista">
    <w:name w:val="List Paragraph"/>
    <w:basedOn w:val="Normal"/>
    <w:uiPriority w:val="34"/>
    <w:qFormat/>
    <w:rsid w:val="00FB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B72AE"/>
  </w:style>
  <w:style w:type="paragraph" w:styleId="Textonotapie">
    <w:name w:val="footnote text"/>
    <w:basedOn w:val="Normal"/>
    <w:link w:val="TextonotapieCar"/>
    <w:uiPriority w:val="99"/>
    <w:semiHidden/>
    <w:unhideWhenUsed/>
    <w:rsid w:val="00FB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72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B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B72A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P B</cp:lastModifiedBy>
  <cp:revision>2</cp:revision>
  <dcterms:created xsi:type="dcterms:W3CDTF">2015-02-26T20:03:00Z</dcterms:created>
  <dcterms:modified xsi:type="dcterms:W3CDTF">2015-02-26T20:03:00Z</dcterms:modified>
</cp:coreProperties>
</file>